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720" w:after="120" w:line="372" w:lineRule="auto"/>
        <w:jc w:val="center"/>
      </w:pPr>
      <w:r>
        <w:rPr>
          <w:rFonts w:ascii="微软雅黑" w:hAnsi="微软雅黑" w:eastAsia="微软雅黑"/>
          <w:b w:val="0"/>
          <w:i w:val="0"/>
          <w:color w:val="C9A227"/>
          <w:sz w:val="20"/>
        </w:rPr>
        <w:t>亦笙兴旺 · 黄金珠宝管理系统 · 四条产品线</w:t>
      </w:r>
    </w:p>
    <w:p>
      <w:pPr>
        <w:spacing w:before="40" w:after="80"/>
        <w:jc w:val="center"/>
      </w:pPr>
      <w:r>
        <w:rPr>
          <w:rFonts w:ascii="宋体" w:hAnsi="宋体" w:eastAsia="宋体"/>
          <w:b/>
          <w:i w:val="0"/>
          <w:color w:val="1A1D22"/>
          <w:sz w:val="60"/>
        </w:rPr>
        <w:t>B 线 · 水贝档口</w:t>
      </w:r>
    </w:p>
    <w:p>
      <w:pPr>
        <w:spacing w:after="280"/>
        <w:jc w:val="center"/>
      </w:pPr>
      <w:r>
        <w:rPr>
          <w:rFonts w:ascii="宋体" w:hAnsi="宋体" w:eastAsia="宋体"/>
          <w:b/>
          <w:i w:val="0"/>
          <w:color w:val="C9A227"/>
          <w:sz w:val="36"/>
        </w:rPr>
        <w:t>分 线 方 案</w:t>
      </w:r>
    </w:p>
    <w:p>
      <w:pPr>
        <w:spacing w:before="0" w:after="400" w:line="372" w:lineRule="auto"/>
        <w:jc w:val="center"/>
      </w:pPr>
      <w:r>
        <w:rPr>
          <w:rFonts w:ascii="微软雅黑" w:hAnsi="微软雅黑" w:eastAsia="微软雅黑"/>
          <w:b w:val="0"/>
          <w:i w:val="0"/>
          <w:color w:val="5E5E5E"/>
          <w:sz w:val="24"/>
        </w:rPr>
        <w:t>每批金价不同，每笔毛利也要算得清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92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项目</w:t>
            </w:r>
          </w:p>
        </w:tc>
        <w:tc>
          <w:tcPr>
            <w:tcW w:type="dxa" w:w="7030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内容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适用对象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水贝 / 龙岗批发档口，1～5 人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推荐账号</w:t>
            </w:r>
          </w:p>
        </w:tc>
        <w:tc>
          <w:tcPr>
            <w:tcW w:type="dxa" w:w="7030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3～8 个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年费参考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2,400 元 ~ 4,800 元 / 年（全额阶梯，账号越多单价越低）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上线周期</w:t>
            </w:r>
          </w:p>
        </w:tc>
        <w:tc>
          <w:tcPr>
            <w:tcW w:type="dxa" w:w="7030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3～7 天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文档版本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V2026.10 · 2026 年 10 月 更新</w:t>
            </w:r>
          </w:p>
        </w:tc>
      </w:tr>
    </w:tbl>
    <w:p/>
    <w:p>
      <w:pPr>
        <w:spacing w:before="120" w:after="160" w:line="360" w:lineRule="auto"/>
        <w:ind w:left="340"/>
        <w:pBdr>
          <w:left w:val="single" w:sz="18" w:space="8" w:color="C9A227"/>
        </w:pBdr>
      </w:pPr>
      <w:r>
        <w:rPr>
          <w:rFonts w:ascii="宋体" w:hAnsi="宋体" w:eastAsia="宋体"/>
          <w:b w:val="0"/>
          <w:i/>
          <w:color w:val="4A4436"/>
          <w:sz w:val="22"/>
        </w:rPr>
        <w:t>主要卖给同行、档口或下游门店，一批货一个进价，客户分级报价，赊账发货靠账期周转。</w:t>
      </w:r>
    </w:p>
    <w:p>
      <w:r>
        <w:br w:type="page"/>
      </w:r>
    </w:p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01  </w:t>
      </w:r>
      <w:r>
        <w:rPr>
          <w:rFonts w:ascii="宋体" w:hAnsi="宋体" w:eastAsia="宋体"/>
          <w:b/>
          <w:i w:val="0"/>
          <w:color w:val="1A1D22"/>
          <w:sz w:val="40"/>
        </w:rPr>
        <w:t>这条线要解决的三个问题</w:t>
      </w:r>
    </w:p>
    <w:p>
      <w:pPr>
        <w:spacing w:before="160" w:after="60"/>
      </w:pPr>
      <w:r>
        <w:rPr>
          <w:rFonts w:ascii="微软雅黑" w:hAnsi="微软雅黑" w:eastAsia="微软雅黑"/>
          <w:b/>
          <w:i w:val="0"/>
          <w:color w:val="1A1D22"/>
          <w:sz w:val="22"/>
        </w:rPr>
        <w:t>问题 1 · 卖一件不知道赚多少</w:t>
      </w:r>
    </w:p>
    <w:p>
      <w:pPr>
        <w:spacing w:before="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同一款货这周进价和上周不同，手工算毛利算到半夜，还算不准。</w:t>
      </w:r>
    </w:p>
    <w:p>
      <w:pPr>
        <w:spacing w:before="160" w:after="60"/>
      </w:pPr>
      <w:r>
        <w:rPr>
          <w:rFonts w:ascii="微软雅黑" w:hAnsi="微软雅黑" w:eastAsia="微软雅黑"/>
          <w:b/>
          <w:i w:val="0"/>
          <w:color w:val="1A1D22"/>
          <w:sz w:val="22"/>
        </w:rPr>
        <w:t>问题 2 · 欠款收不回来</w:t>
      </w:r>
    </w:p>
    <w:p>
      <w:pPr>
        <w:spacing w:before="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谁欠钱、欠多久、哪张单没核销，全靠翻本子和翻微信。</w:t>
      </w:r>
    </w:p>
    <w:p>
      <w:pPr>
        <w:spacing w:before="160" w:after="60"/>
      </w:pPr>
      <w:r>
        <w:rPr>
          <w:rFonts w:ascii="微软雅黑" w:hAnsi="微软雅黑" w:eastAsia="微软雅黑"/>
          <w:b/>
          <w:i w:val="0"/>
          <w:color w:val="1A1D22"/>
          <w:sz w:val="22"/>
        </w:rPr>
        <w:t>问题 3 · 报价报错</w:t>
      </w:r>
    </w:p>
    <w:p>
      <w:pPr>
        <w:spacing w:before="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老客户、散客、同行三种价，报错了要么亏要么得罪人。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每月该盯的三张表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92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指标</w:t>
            </w:r>
          </w:p>
        </w:tc>
        <w:tc>
          <w:tcPr>
            <w:tcW w:type="dxa" w:w="7030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看什么 / 有什么用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批次毛利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每批进价不同，销售毛利按批次自动核算，卖一件就知道赚多少。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应收账龄</w:t>
            </w:r>
          </w:p>
        </w:tc>
        <w:tc>
          <w:tcPr>
            <w:tcW w:type="dxa" w:w="7030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0-30 / 31-60 / 61-90 / 90+ 四段账龄，谁该催款一目了然。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回款核销率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收款按单核销，部分收款、抹零、超限审批全部留痕。</w:t>
            </w:r>
          </w:p>
        </w:tc>
      </w:tr>
    </w:tbl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02  </w:t>
      </w:r>
      <w:r>
        <w:rPr>
          <w:rFonts w:ascii="宋体" w:hAnsi="宋体" w:eastAsia="宋体"/>
          <w:b/>
          <w:i w:val="0"/>
          <w:color w:val="1A1D22"/>
          <w:sz w:val="40"/>
        </w:rPr>
        <w:t>本线专属能力清单</w:t>
      </w:r>
    </w:p>
    <w:p>
      <w:pPr>
        <w:spacing w:before="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下列 15 项是本线专属（其它线默认不开），加上四条线共用的底座，构成 B 线的完整能力范围。逐条功能说明见随附《功能清单》Excel，勾选「适用 B」即可。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170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业务域</w:t>
            </w:r>
          </w:p>
        </w:tc>
        <w:tc>
          <w:tcPr>
            <w:tcW w:type="dxa" w:w="306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功能</w:t>
            </w:r>
          </w:p>
        </w:tc>
        <w:tc>
          <w:tcPr>
            <w:tcW w:type="dxa" w:w="4195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业务价值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批发与账期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批发开单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批发出货有单可依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批发与账期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客户价格组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老客户、散客不同价，不怕报错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批发与账期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批次成本毛利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卖一件就知道赚多少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批发与账期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销售出库单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出货与库存一致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批发与账期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应收账龄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谁欠钱、欠多久，一目了然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批发与账期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收款核销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回款能对上具体单据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批发与账期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账期授信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赊账有上限，风险收得住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批发与账期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审批链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老板不在也能按规则放行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批发与账期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批发报价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客户问价当场能回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会员与 CRM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CRM 客户档案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批发客户关系不锁在业务员手里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会员与 CRM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公海池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离职带走客户的问题解决了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会员与 CRM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商机管道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大单跟进有节奏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会员与 CRM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拜访记录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外勤有没有去，看得见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会员与 CRM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合同管理 / 合同财务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合同与钱挂在一起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会员与 CRM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CRM 看板与客户评分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先跟谁后跟谁有依据</w:t>
            </w:r>
          </w:p>
        </w:tc>
      </w:tr>
    </w:tbl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本线默认重点开启的共用能力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这些功能四线都有，但本线的默认视角与首页看板直接对着它们——上线当天就能用上，不需要额外配置。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170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业务域</w:t>
            </w:r>
          </w:p>
        </w:tc>
        <w:tc>
          <w:tcPr>
            <w:tcW w:type="dxa" w:w="306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功能</w:t>
            </w:r>
          </w:p>
        </w:tc>
        <w:tc>
          <w:tcPr>
            <w:tcW w:type="dxa" w:w="4195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业务价值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收银与售后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收银台开单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一单多种付法也能一次记清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库存与仓储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商品调拨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货走了账也走，跨店不再靠微信说一声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采购与供应链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采购入库单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批次成本从这里开始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采购与供应链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供应商对账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对账一张表，不再翻单据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财务与结算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成本毛利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毛利不是估的，是算出来的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财务与结算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财务日结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当天账当天清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库存与仓储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库存货值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库里到底值多少钱，打开就有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库存与仓储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库存预警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压货与断货都提前知道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库存与仓储</w:t>
            </w:r>
          </w:p>
        </w:tc>
        <w:tc>
          <w:tcPr>
            <w:tcW w:type="dxa" w:w="30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智能补货看板</w:t>
            </w:r>
          </w:p>
        </w:tc>
        <w:tc>
          <w:tcPr>
            <w:tcW w:type="dxa" w:w="4195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补什么、补多少有数可依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报表与看板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老板日报</w:t>
            </w:r>
          </w:p>
        </w:tc>
        <w:tc>
          <w:tcPr>
            <w:tcW w:type="dxa" w:w="4195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老板 30 秒看懂今天</w:t>
            </w:r>
          </w:p>
        </w:tc>
      </w:tr>
    </w:tbl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03  </w:t>
      </w:r>
      <w:r>
        <w:rPr>
          <w:rFonts w:ascii="宋体" w:hAnsi="宋体" w:eastAsia="宋体"/>
          <w:b/>
          <w:i w:val="0"/>
          <w:color w:val="1A1D22"/>
          <w:sz w:val="40"/>
        </w:rPr>
        <w:t>四条线共用的底座</w:t>
      </w:r>
    </w:p>
    <w:p>
      <w:pPr>
        <w:spacing w:before="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四条产品线是同一套系统、同一份商品主数据、同一套金价与计价引擎、同一套权限体系，区别只在模块开关与默认视角。全量 130 项功能里，93 项四线共用，所以从一条线升级到另一条线不需要换系统、不需要迁数据。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204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业务域</w:t>
            </w:r>
          </w:p>
        </w:tc>
        <w:tc>
          <w:tcPr>
            <w:tcW w:type="dxa" w:w="691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共用能力（节选）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商品与主数据</w:t>
            </w:r>
          </w:p>
        </w:tc>
        <w:tc>
          <w:tcPr>
            <w:tcW w:type="dxa" w:w="691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一物一码商品档案、多材质分库、商品分类与款号</w:t>
            </w:r>
          </w:p>
        </w:tc>
      </w:tr>
      <w:tr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金价与计价</w:t>
            </w:r>
          </w:p>
        </w:tc>
        <w:tc>
          <w:tcPr>
            <w:tcW w:type="dxa" w:w="691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当日金价管理、金价自动抓取、历史金价趋势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收银与售后</w:t>
            </w:r>
          </w:p>
        </w:tc>
        <w:tc>
          <w:tcPr>
            <w:tcW w:type="dxa" w:w="691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收银台开单、退货冲红、换购开单</w:t>
            </w:r>
          </w:p>
        </w:tc>
      </w:tr>
      <w:tr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库存与仓储</w:t>
            </w:r>
          </w:p>
        </w:tc>
        <w:tc>
          <w:tcPr>
            <w:tcW w:type="dxa" w:w="691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商品入库单、商品出库单、商品调拨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采购与供应链</w:t>
            </w:r>
          </w:p>
        </w:tc>
        <w:tc>
          <w:tcPr>
            <w:tcW w:type="dxa" w:w="691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供应商档案、采购入库单、采购建议</w:t>
            </w:r>
          </w:p>
        </w:tc>
      </w:tr>
      <w:tr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生产与车间</w:t>
            </w:r>
          </w:p>
        </w:tc>
        <w:tc>
          <w:tcPr>
            <w:tcW w:type="dxa" w:w="691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生产订单、工序流转、工序调度看板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批发与账期</w:t>
            </w:r>
          </w:p>
        </w:tc>
        <w:tc>
          <w:tcPr>
            <w:tcW w:type="dxa" w:w="691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批发开单、客户价格组、批次成本毛利</w:t>
            </w:r>
          </w:p>
        </w:tc>
      </w:tr>
      <w:tr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会员与 CRM</w:t>
            </w:r>
          </w:p>
        </w:tc>
        <w:tc>
          <w:tcPr>
            <w:tcW w:type="dxa" w:w="691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会员档案、会员等级与标签、积分规则 / 流水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财务与结算</w:t>
            </w:r>
          </w:p>
        </w:tc>
        <w:tc>
          <w:tcPr>
            <w:tcW w:type="dxa" w:w="691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财务日结、财务月结、银行账户与流水</w:t>
            </w:r>
          </w:p>
        </w:tc>
      </w:tr>
      <w:tr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报表与看板</w:t>
            </w:r>
          </w:p>
        </w:tc>
        <w:tc>
          <w:tcPr>
            <w:tcW w:type="dxa" w:w="691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仪表盘、今日运营看板、老板日报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权限与系统</w:t>
            </w:r>
          </w:p>
        </w:tc>
        <w:tc>
          <w:tcPr>
            <w:tcW w:type="dxa" w:w="691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角色权限、员工管理、门店与分店仓库</w:t>
            </w:r>
          </w:p>
        </w:tc>
      </w:tr>
      <w:tr>
        <w:tc>
          <w:tcPr>
            <w:tcW w:type="dxa" w:w="204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移动端与 AI</w:t>
            </w:r>
          </w:p>
        </w:tc>
        <w:tc>
          <w:tcPr>
            <w:tcW w:type="dxa" w:w="691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老板 H5 看账、移动开单 / 扫码、H5 在线商城</w:t>
            </w:r>
          </w:p>
        </w:tc>
      </w:tr>
    </w:tbl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四线边界对照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怕买多了或买少了，看这张表：每条线「不包含」的部分，就是另一条线的入口。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837"/>
        <w:gridCol w:w="1837"/>
        <w:gridCol w:w="1837"/>
        <w:gridCol w:w="1837"/>
        <w:gridCol w:w="1837"/>
      </w:tblGrid>
      <w:tr>
        <w:tc>
          <w:tcPr>
            <w:tcW w:type="dxa" w:w="136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维度</w:t>
            </w:r>
          </w:p>
        </w:tc>
        <w:tc>
          <w:tcPr>
            <w:tcW w:type="dxa" w:w="2154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M 前店后厂</w:t>
            </w:r>
          </w:p>
        </w:tc>
        <w:tc>
          <w:tcPr>
            <w:tcW w:type="dxa" w:w="2154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B 水贝档口</w:t>
            </w:r>
          </w:p>
        </w:tc>
        <w:tc>
          <w:tcPr>
            <w:tcW w:type="dxa" w:w="175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C 零售单店</w:t>
            </w:r>
          </w:p>
        </w:tc>
        <w:tc>
          <w:tcPr>
            <w:tcW w:type="dxa" w:w="175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6"/>
              </w:rPr>
              <w:t>W 连锁多店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目标客户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前店后厂微小店，1～3 人起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水贝 / 龙岗批发档口，1～5 人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零售单店 / 夫妻店，2～5 人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2 家店以上、总部与门店有分工</w:t>
            </w:r>
          </w:p>
        </w:tc>
      </w:tr>
      <w:tr>
        <w:tc>
          <w:tcPr>
            <w:tcW w:type="dxa" w:w="13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一句话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前面卖货、后面做货，两套账一个系统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每批金价不同，每笔毛利也要算得清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给老板看的系统，不是给店员堆功能的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开到第二家店，总部要看得见、管得住、合得起来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核心能力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双账套 · 13 道工序 · 金料收发 · 车间三套库存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批次成本 · 客户价格组 · 应收账龄 · 审批链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极简收银 · 老板日报 · 旧料回收 · 储值套餐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岗位分权 · 跨店调拨 · 统采配货 · 门店结算 · 汇总账</w:t>
            </w:r>
          </w:p>
        </w:tc>
      </w:tr>
      <w:tr>
        <w:tc>
          <w:tcPr>
            <w:tcW w:type="dxa" w:w="13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专属模块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生产订单、工序流转、金料管理、成品组装、镶嵌出库、客户来料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批发开单、批次成本毛利、客户价格组、应收账龄、账期授信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定金锁价、储值套餐、极简 H5、扫码盘点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统采配货、门店结算、价格策略下发、差异签收、门店对比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不包含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总部多店管控（走 W 线）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车间工序、双账套（走 M 线）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生产车间、批发动销（走 M / B 线）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车间生产、金料加工（走 M 线）</w:t>
            </w:r>
          </w:p>
        </w:tc>
      </w:tr>
      <w:tr>
        <w:tc>
          <w:tcPr>
            <w:tcW w:type="dxa" w:w="13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推荐账号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5～12 个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3～8 个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2～5 个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10～30 个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起步年费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按账号阶梯核算，详见定价页</w:t>
            </w:r>
          </w:p>
        </w:tc>
        <w:tc>
          <w:tcPr>
            <w:tcW w:type="dxa" w:w="2154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按账号阶梯核算，详见定价页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按账号阶梯核算，详见定价页</w:t>
            </w:r>
          </w:p>
        </w:tc>
        <w:tc>
          <w:tcPr>
            <w:tcW w:type="dxa" w:w="1757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按账号阶梯核算，详见定价页</w:t>
            </w:r>
          </w:p>
        </w:tc>
      </w:tr>
      <w:tr>
        <w:tc>
          <w:tcPr>
            <w:tcW w:type="dxa" w:w="136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上线周期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5～15 天（含期初建账）</w:t>
            </w:r>
          </w:p>
        </w:tc>
        <w:tc>
          <w:tcPr>
            <w:tcW w:type="dxa" w:w="2154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3～7 天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1～5 天</w:t>
            </w:r>
          </w:p>
        </w:tc>
        <w:tc>
          <w:tcPr>
            <w:tcW w:type="dxa" w:w="1757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6"/>
              </w:rPr>
              <w:t>10～30 天（按门店数）</w:t>
            </w:r>
          </w:p>
        </w:tc>
      </w:tr>
    </w:tbl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04  </w:t>
      </w:r>
      <w:r>
        <w:rPr>
          <w:rFonts w:ascii="宋体" w:hAnsi="宋体" w:eastAsia="宋体"/>
          <w:b/>
          <w:i w:val="0"/>
          <w:color w:val="1A1D22"/>
          <w:sz w:val="40"/>
        </w:rPr>
        <w:t>账号与预算</w:t>
      </w:r>
    </w:p>
    <w:p>
      <w:pPr>
        <w:spacing w:before="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SaaS 采用「全额阶梯」计费：所在档位的单价适用于全部账号，不逐段累加。账号越多单价越低；云托管与本地部署账号不限量，不按账号收费。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260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账号区间</w:t>
            </w:r>
          </w:p>
        </w:tc>
        <w:tc>
          <w:tcPr>
            <w:tcW w:type="dxa" w:w="306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单价</w:t>
            </w:r>
          </w:p>
        </w:tc>
        <w:tc>
          <w:tcPr>
            <w:tcW w:type="dxa" w:w="328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该档位年费区间</w:t>
            </w:r>
          </w:p>
        </w:tc>
      </w:tr>
      <w:tr>
        <w:tc>
          <w:tcPr>
            <w:tcW w:type="dxa" w:w="260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● 1～5 账号</w:t>
            </w:r>
          </w:p>
        </w:tc>
        <w:tc>
          <w:tcPr>
            <w:tcW w:type="dxa" w:w="30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800 元 / 账号 / 年</w:t>
            </w:r>
          </w:p>
        </w:tc>
        <w:tc>
          <w:tcPr>
            <w:tcW w:type="dxa" w:w="328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4,000 元 / 年以内</w:t>
            </w:r>
          </w:p>
        </w:tc>
      </w:tr>
      <w:tr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● 6～10 账号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600 元 / 账号 / 年</w:t>
            </w:r>
          </w:p>
        </w:tc>
        <w:tc>
          <w:tcPr>
            <w:tcW w:type="dxa" w:w="328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3,600～6,000 元 / 年</w:t>
            </w:r>
          </w:p>
        </w:tc>
      </w:tr>
      <w:tr>
        <w:tc>
          <w:tcPr>
            <w:tcW w:type="dxa" w:w="260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11～20 账号</w:t>
            </w:r>
          </w:p>
        </w:tc>
        <w:tc>
          <w:tcPr>
            <w:tcW w:type="dxa" w:w="30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500 元 / 账号 / 年</w:t>
            </w:r>
          </w:p>
        </w:tc>
        <w:tc>
          <w:tcPr>
            <w:tcW w:type="dxa" w:w="328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5,500～10,000 元 / 年</w:t>
            </w:r>
          </w:p>
        </w:tc>
      </w:tr>
      <w:tr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21～30 账号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400 元 / 账号 / 年</w:t>
            </w:r>
          </w:p>
        </w:tc>
        <w:tc>
          <w:tcPr>
            <w:tcW w:type="dxa" w:w="328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8,400～12,000 元 / 年</w:t>
            </w:r>
          </w:p>
        </w:tc>
      </w:tr>
      <w:tr>
        <w:tc>
          <w:tcPr>
            <w:tcW w:type="dxa" w:w="260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31～50 账号</w:t>
            </w:r>
          </w:p>
        </w:tc>
        <w:tc>
          <w:tcPr>
            <w:tcW w:type="dxa" w:w="30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300 元 / 账号 / 年</w:t>
            </w:r>
          </w:p>
        </w:tc>
        <w:tc>
          <w:tcPr>
            <w:tcW w:type="dxa" w:w="328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9,300～15,000 元 / 年</w:t>
            </w:r>
          </w:p>
        </w:tc>
      </w:tr>
      <w:tr>
        <w:tc>
          <w:tcPr>
            <w:tcW w:type="dxa" w:w="260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51～100 账号</w:t>
            </w:r>
          </w:p>
        </w:tc>
        <w:tc>
          <w:tcPr>
            <w:tcW w:type="dxa" w:w="306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260 元 / 账号 / 年</w:t>
            </w:r>
          </w:p>
        </w:tc>
        <w:tc>
          <w:tcPr>
            <w:tcW w:type="dxa" w:w="328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13,260～26,000 元 / 年</w:t>
            </w:r>
          </w:p>
        </w:tc>
      </w:tr>
      <w:tr>
        <w:tc>
          <w:tcPr>
            <w:tcW w:type="dxa" w:w="260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100 账号以上</w:t>
            </w:r>
          </w:p>
        </w:tc>
        <w:tc>
          <w:tcPr>
            <w:tcW w:type="dxa" w:w="30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单独洽谈</w:t>
            </w:r>
          </w:p>
        </w:tc>
        <w:tc>
          <w:tcPr>
            <w:tcW w:type="dxa" w:w="328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—</w:t>
            </w:r>
          </w:p>
        </w:tc>
      </w:tr>
    </w:tbl>
    <w:p>
      <w:pPr>
        <w:spacing w:before="12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按推荐账号 3～8 个测算，本线年费参考 2,400 元 ~ 4,800 元；账号数少于 3 个也能开，只是分摊到人头上单价更高。</w:t>
      </w:r>
    </w:p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三种交付方式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170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交付方式</w:t>
            </w:r>
          </w:p>
        </w:tc>
        <w:tc>
          <w:tcPr>
            <w:tcW w:type="dxa" w:w="3969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形态</w:t>
            </w:r>
          </w:p>
        </w:tc>
        <w:tc>
          <w:tcPr>
            <w:tcW w:type="dxa" w:w="328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9"/>
              </w:rPr>
              <w:t>适合谁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云端 SaaS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开箱即用，按账号年付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绝大多数单店与小微连锁</w:t>
            </w:r>
          </w:p>
        </w:tc>
      </w:tr>
      <w:tr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云托管</w:t>
            </w:r>
          </w:p>
        </w:tc>
        <w:tc>
          <w:tcPr>
            <w:tcW w:type="dxa" w:w="3969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独立实例，数据独立</w:t>
            </w:r>
          </w:p>
        </w:tc>
        <w:tc>
          <w:tcPr>
            <w:tcW w:type="dxa" w:w="3288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对数据隔离、性能有要求的客户</w:t>
            </w:r>
          </w:p>
        </w:tc>
      </w:tr>
      <w:tr>
        <w:tc>
          <w:tcPr>
            <w:tcW w:type="dxa" w:w="170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本地部署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部署在客户自有服务器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9"/>
              </w:rPr>
              <w:t>数据必须留在内网、或有等保要求的客户</w:t>
            </w:r>
          </w:p>
        </w:tc>
      </w:tr>
    </w:tbl>
    <w:p>
      <w:pPr>
        <w:spacing w:before="120" w:after="12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8A867C"/>
          <w:sz w:val="18"/>
        </w:rPr>
        <w:t>注：以上为官网公开口径，最终报价以双方确认的实施范围与账号数为准；数据迁移、专属报表、定制开发、驻场培训另行计价。</w:t>
      </w:r>
    </w:p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05  </w:t>
      </w:r>
      <w:r>
        <w:rPr>
          <w:rFonts w:ascii="宋体" w:hAnsi="宋体" w:eastAsia="宋体"/>
          <w:b/>
          <w:i w:val="0"/>
          <w:color w:val="1A1D22"/>
          <w:sz w:val="40"/>
        </w:rPr>
        <w:t>上线路径</w:t>
      </w:r>
    </w:p>
    <w:p>
      <w:pPr>
        <w:spacing w:before="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本线标准周期 3～7 天。小微企业最怕「上线三个月还在补账」，所以建账与试跑单独成阶段，试跑通过、双方确认后才切换正式账。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296"/>
        <w:gridCol w:w="2296"/>
        <w:gridCol w:w="2296"/>
        <w:gridCol w:w="2296"/>
      </w:tblGrid>
      <w:tr>
        <w:tc>
          <w:tcPr>
            <w:tcW w:type="dxa" w:w="136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阶段</w:t>
            </w:r>
          </w:p>
        </w:tc>
        <w:tc>
          <w:tcPr>
            <w:tcW w:type="dxa" w:w="1587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周期</w:t>
            </w:r>
          </w:p>
        </w:tc>
        <w:tc>
          <w:tcPr>
            <w:tcW w:type="dxa" w:w="4309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主要工作</w:t>
            </w:r>
          </w:p>
        </w:tc>
        <w:tc>
          <w:tcPr>
            <w:tcW w:type="dxa" w:w="1701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7"/>
              </w:rPr>
              <w:t>交付物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诊断</w:t>
            </w:r>
          </w:p>
        </w:tc>
        <w:tc>
          <w:tcPr>
            <w:tcW w:type="dxa" w:w="158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1～2 天</w:t>
            </w:r>
          </w:p>
        </w:tc>
        <w:tc>
          <w:tcPr>
            <w:tcW w:type="dxa" w:w="4309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看店型、岗位、现有单据与账套，确认上哪条线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选型建议书</w:t>
            </w:r>
          </w:p>
        </w:tc>
      </w:tr>
      <w:tr>
        <w:tc>
          <w:tcPr>
            <w:tcW w:type="dxa" w:w="136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建账</w:t>
            </w:r>
          </w:p>
        </w:tc>
        <w:tc>
          <w:tcPr>
            <w:tcW w:type="dxa" w:w="158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1～5 天</w:t>
            </w:r>
          </w:p>
        </w:tc>
        <w:tc>
          <w:tcPr>
            <w:tcW w:type="dxa" w:w="4309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商品档案、期初库存、金料、往来余额一次性建账</w:t>
            </w:r>
          </w:p>
        </w:tc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期初建账表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试跑</w:t>
            </w:r>
          </w:p>
        </w:tc>
        <w:tc>
          <w:tcPr>
            <w:tcW w:type="dxa" w:w="158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2～5 天</w:t>
            </w:r>
          </w:p>
        </w:tc>
        <w:tc>
          <w:tcPr>
            <w:tcW w:type="dxa" w:w="4309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按真实业务跑通开单 → 入库 → 调拨 → 日结 → 报表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试跑问题清单</w:t>
            </w:r>
          </w:p>
        </w:tc>
      </w:tr>
      <w:tr>
        <w:tc>
          <w:tcPr>
            <w:tcW w:type="dxa" w:w="1361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上线</w:t>
            </w:r>
          </w:p>
        </w:tc>
        <w:tc>
          <w:tcPr>
            <w:tcW w:type="dxa" w:w="1587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1～2 天</w:t>
            </w:r>
          </w:p>
        </w:tc>
        <w:tc>
          <w:tcPr>
            <w:tcW w:type="dxa" w:w="4309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账号分权、打印模板、支付方式、日报推送全部就位</w:t>
            </w:r>
          </w:p>
        </w:tc>
        <w:tc>
          <w:tcPr>
            <w:tcW w:type="dxa" w:w="1701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上线确认单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复盘</w:t>
            </w:r>
          </w:p>
        </w:tc>
        <w:tc>
          <w:tcPr>
            <w:tcW w:type="dxa" w:w="1587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上线后 30 天</w:t>
            </w:r>
          </w:p>
        </w:tc>
        <w:tc>
          <w:tcPr>
            <w:tcW w:type="dxa" w:w="4309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每周看一次关键指标，30 天出一次复盘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7"/>
              </w:rPr>
              <w:t>月度经营复盘</w:t>
            </w:r>
          </w:p>
        </w:tc>
      </w:tr>
    </w:tbl>
    <w:p>
      <w:pPr>
        <w:spacing w:before="240" w:after="100"/>
      </w:pPr>
      <w:r>
        <w:rPr>
          <w:rFonts w:ascii="微软雅黑" w:hAnsi="微软雅黑" w:eastAsia="微软雅黑"/>
          <w:b/>
          <w:i w:val="0"/>
          <w:color w:val="8A6D18"/>
          <w:sz w:val="26"/>
        </w:rPr>
        <w:t>上线验收清单</w:t>
      </w:r>
    </w:p>
    <w:p>
      <w:pPr>
        <w:spacing w:before="0" w:after="8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以下逐条跑通再签字，避免「装了没用起来」：</w:t>
      </w:r>
    </w:p>
    <w:p>
      <w:pPr>
        <w:pStyle w:val="ListBullet"/>
        <w:spacing w:after="60" w:line="348" w:lineRule="auto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批发开单支持新建 → 报价 → 提交 → 作废全流程</w:t>
      </w:r>
    </w:p>
    <w:p>
      <w:pPr>
        <w:pStyle w:val="ListBullet"/>
        <w:spacing w:after="60" w:line="348" w:lineRule="auto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客户价格组按级别报价，报价取当日金价 + 工费</w:t>
      </w:r>
    </w:p>
    <w:p>
      <w:pPr>
        <w:pStyle w:val="ListBullet"/>
        <w:spacing w:after="60" w:line="348" w:lineRule="auto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批次成本与销售毛利自动核算，可按批次 / 客户 / 期间查</w:t>
      </w:r>
    </w:p>
    <w:p>
      <w:pPr>
        <w:pStyle w:val="ListBullet"/>
        <w:spacing w:after="60" w:line="348" w:lineRule="auto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应收账龄分四段，可按客户钻取到具体单据</w:t>
      </w:r>
    </w:p>
    <w:p>
      <w:pPr>
        <w:pStyle w:val="ListBullet"/>
        <w:spacing w:after="60" w:line="348" w:lineRule="auto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收款核销支持部分收款与抹零，未核销金额可查</w:t>
      </w:r>
    </w:p>
    <w:p>
      <w:pPr>
        <w:pStyle w:val="ListBullet"/>
        <w:spacing w:after="60" w:line="348" w:lineRule="auto"/>
      </w:pPr>
      <w:r>
        <w:rPr>
          <w:rFonts w:ascii="微软雅黑" w:hAnsi="微软雅黑" w:eastAsia="微软雅黑"/>
          <w:b w:val="0"/>
          <w:i w:val="0"/>
          <w:color w:val="1A1D22"/>
          <w:sz w:val="20"/>
        </w:rPr>
        <w:t>账期授信额度与超限拦截生效，超限走审批链</w:t>
      </w:r>
    </w:p>
    <w:p>
      <w:pPr>
        <w:spacing w:before="360" w:after="200"/>
        <w:pBdr>
          <w:bottom w:val="single" w:sz="8" w:space="6" w:color="C9A227"/>
        </w:pBdr>
      </w:pPr>
      <w:r>
        <w:rPr>
          <w:rFonts w:ascii="宋体" w:hAnsi="宋体" w:eastAsia="宋体"/>
          <w:b/>
          <w:i w:val="0"/>
          <w:color w:val="C9A227"/>
          <w:sz w:val="40"/>
        </w:rPr>
        <w:t xml:space="preserve">06  </w:t>
      </w:r>
      <w:r>
        <w:rPr>
          <w:rFonts w:ascii="宋体" w:hAnsi="宋体" w:eastAsia="宋体"/>
          <w:b/>
          <w:i w:val="0"/>
          <w:color w:val="1A1D22"/>
          <w:sz w:val="40"/>
        </w:rPr>
        <w:t>先看演示，再决定要不要聊</w:t>
      </w:r>
    </w:p>
    <w:p>
      <w:pPr>
        <w:spacing w:before="0" w:after="160" w:line="372" w:lineRule="auto"/>
        <w:jc w:val="left"/>
      </w:pPr>
      <w:r>
        <w:rPr>
          <w:rFonts w:ascii="微软雅黑" w:hAnsi="微软雅黑" w:eastAsia="微软雅黑"/>
          <w:b w:val="0"/>
          <w:i w:val="0"/>
          <w:color w:val="5E5E5E"/>
          <w:sz w:val="20"/>
        </w:rPr>
        <w:t>演示环境里先开一张批发单，再看应收账龄和收款核销，最后试一次超限拦截。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928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项目</w:t>
            </w:r>
          </w:p>
        </w:tc>
        <w:tc>
          <w:tcPr>
            <w:tcW w:type="dxa" w:w="7030"/>
            <w:shd w:val="clear" w:color="auto" w:fill="1A1D22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/>
                <w:i w:val="0"/>
                <w:color w:val="FFFFFF"/>
                <w:sz w:val="18"/>
              </w:rPr>
              <w:t>信息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在线演示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https://zhubao.zerocod.cn/login/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业务顾问</w:t>
            </w:r>
          </w:p>
        </w:tc>
        <w:tc>
          <w:tcPr>
            <w:tcW w:type="dxa" w:w="7030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Joy · 张银桥 · 算数科技 · 大湾区负责人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电话 / 微信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+86 186 7177 6088（微信同号）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邮箱</w:t>
            </w:r>
          </w:p>
        </w:tc>
        <w:tc>
          <w:tcPr>
            <w:tcW w:type="dxa" w:w="7030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joy@micount.cn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代理合作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180 1631 3342 · cooper@micount.cn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深圳办公</w:t>
            </w:r>
          </w:p>
        </w:tc>
        <w:tc>
          <w:tcPr>
            <w:tcW w:type="dxa" w:w="7030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深圳市坪山区龙光玖云著1-1931号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上海总部</w:t>
            </w:r>
          </w:p>
        </w:tc>
        <w:tc>
          <w:tcPr>
            <w:tcW w:type="dxa" w:w="7030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上海市静安区汶水路480号（鑫森园区）103号</w:t>
            </w:r>
          </w:p>
        </w:tc>
      </w:tr>
      <w:tr>
        <w:tc>
          <w:tcPr>
            <w:tcW w:type="dxa" w:w="1928"/>
            <w:shd w:val="clear" w:color="auto" w:fill="FAF7EF"/>
          </w:tcPr>
          <w:p>
            <w:pPr>
              <w:spacing w:before="40" w:after="40"/>
              <w:jc w:val="center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产品官网</w:t>
            </w:r>
          </w:p>
        </w:tc>
        <w:tc>
          <w:tcPr>
            <w:tcW w:type="dxa" w:w="7030"/>
            <w:shd w:val="clear" w:color="auto" w:fill="FAF7EF"/>
          </w:tcPr>
          <w:p>
            <w:pPr>
              <w:spacing w:before="40" w:after="40"/>
              <w:jc w:val="left"/>
            </w:pPr>
            <w:r/>
            <w:r>
              <w:rPr>
                <w:rFonts w:ascii="微软雅黑" w:hAnsi="微软雅黑" w:eastAsia="微软雅黑"/>
                <w:b w:val="0"/>
                <w:i w:val="0"/>
                <w:color w:val="1A1D22"/>
                <w:sz w:val="18"/>
              </w:rPr>
              <w:t>https://zhubao.zerocod.cn/</w:t>
            </w:r>
          </w:p>
        </w:tc>
      </w:tr>
    </w:tbl>
    <w:p/>
    <w:p>
      <w:pPr>
        <w:spacing w:before="120" w:after="160" w:line="360" w:lineRule="auto"/>
        <w:ind w:left="340"/>
        <w:pBdr>
          <w:left w:val="single" w:sz="18" w:space="8" w:color="C9A227"/>
        </w:pBdr>
      </w:pPr>
      <w:r>
        <w:rPr>
          <w:rFonts w:ascii="宋体" w:hAnsi="宋体" w:eastAsia="宋体"/>
          <w:b w:val="0"/>
          <w:i/>
          <w:color w:val="4A4436"/>
          <w:sz w:val="22"/>
        </w:rPr>
        <w:t>花小钱办大事 · 两成预算上系统。先把这条线跑通，再谈扩张。</w:t>
      </w:r>
    </w:p>
    <w:p>
      <w:pPr>
        <w:spacing w:before="200" w:after="120" w:line="372" w:lineRule="auto"/>
        <w:jc w:val="center"/>
      </w:pPr>
      <w:r>
        <w:rPr>
          <w:rFonts w:ascii="微软雅黑" w:hAnsi="微软雅黑" w:eastAsia="微软雅黑"/>
          <w:b w:val="0"/>
          <w:i w:val="0"/>
          <w:color w:val="8A867C"/>
          <w:sz w:val="18"/>
        </w:rPr>
        <w:t>上海思扬信息科技有限公司 · 算数云科技（深圳）有限公司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61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微软雅黑" w:hAnsi="微软雅黑" w:eastAsia="微软雅黑"/>
        <w:b w:val="0"/>
        <w:i w:val="0"/>
        <w:color w:val="8A867C"/>
        <w:sz w:val="17"/>
      </w:rPr>
      <w:t xml:space="preserve">上海思扬信息科技有限公司 · V2026.10    </w:t>
    </w:r>
    <w:r>
      <w:rPr>
        <w:rFonts w:ascii="微软雅黑" w:hAnsi="微软雅黑" w:eastAsia="微软雅黑"/>
        <w:b w:val="0"/>
        <w:i w:val="0"/>
        <w:color w:val="8A867C"/>
        <w:sz w:val="18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/>
    <w:r>
      <w:rPr>
        <w:rFonts w:ascii="微软雅黑" w:hAnsi="微软雅黑" w:eastAsia="微软雅黑"/>
        <w:b w:val="0"/>
        <w:i w:val="0"/>
        <w:color w:val="8A867C"/>
        <w:sz w:val="17"/>
      </w:rPr>
      <w:t>亦笙兴旺 · 黄金珠宝管理系统 · B 线 水贝档口 分线方案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亦笙兴旺 · B 线 · 水贝档口 分线方案</dc:title>
  <dc:subject>B 线 水贝档口 分线方案</dc:subject>
  <dc:creator>上海思扬信息科技有限公司</dc:creator>
  <cp:keywords>黄金珠宝ERP,水贝档口,分线方案,亦笙兴旺,算数科技</cp:keywords>
  <dc:description>黄金珠宝产业 AI 操作系统 — 懂克重金价，双账套一次管车间和门店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